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jc w:val="both"/>
        <w:spacing w:before="322" w:after="322"/>
        <w:rPr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I Uvod</w:t>
      </w:r>
      <w:r>
        <w:rPr>
          <w:sz w:val="36"/>
          <w:szCs w:val="36"/>
        </w:rPr>
      </w:r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Demografska kretanja predstavljaju jedan od najvažnijih pokazatelja ukupnog društvenog, ekonomskog i prostornog razvoja određene teritorije. Promene u broju stanovnika, kao i u strukturi stanovništva, direktno utiču na tržište rada, obrazovni sistem, zdrav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stvenu i socijalnu zaštitu, ali i na dugoročne razvojne perspektive gradova i regiona. U tom kontekstu, analiza prirodnog kretanja stanovništva ima poseban značaj, jer omogućava sagledavanje osnovnih trendova rasta ili opadanja populacije.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Podaci su preuzeti sa web prezentacije RZS Srbije </w:t>
      </w:r>
      <w:r>
        <w:rPr>
          <w:rFonts w:ascii="Times New Roman" w:hAnsi="Times New Roman" w:eastAsia="Times New Roman" w:cs="Times New Roman"/>
          <w:color w:val="000000"/>
          <w:sz w:val="24"/>
        </w:rPr>
      </w:r>
      <w:hyperlink r:id="rId10" w:tooltip="https://publikacije.stat.gov.rs/G2025/Xls/G202513052.xlsx" w:history="1">
        <w:r>
          <w:rPr>
            <w:rStyle w:val="174"/>
            <w:rFonts w:ascii="Times New Roman" w:hAnsi="Times New Roman" w:eastAsia="Times New Roman" w:cs="Times New Roman"/>
            <w:sz w:val="24"/>
          </w:rPr>
          <w:t xml:space="preserve">https://publikacije.stat.gov.rs/G2025/Xls/G202513052.xlsx</w:t>
        </w:r>
        <w:r>
          <w:rPr>
            <w:rStyle w:val="174"/>
            <w:rFonts w:ascii="Times New Roman" w:hAnsi="Times New Roman" w:eastAsia="Times New Roman" w:cs="Times New Roman"/>
            <w:sz w:val="24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iz dela: Vitalni događaji 2024.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Prirodno kretanje stanovništva obuhvata odnos između broja živorođenih i broja umrlih u određenom vremenskom periodu. Kako bi se omogućilo poređenje između različitih teritorijalnih jedinica, ovi pokazatelji se najčešće izražavaju na 1000 stanovnika. Stopa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živorođenih na 1000 stanovnika ukazuje na intenzitet rađanja, stopa umrlih na opšti nivo smrtnosti, dok prirodni priraštaj predstavlja razliku između ova dva pokazatelja i pokazuje da li se stanovništvo prirodnim putem uvećava ili smanjuje.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Savremena demografska kretanja u Srbiji karakterišu dugoročni trendovi niskog nataliteta, porasta mortaliteta i negativnog prirodnog priraštaja u većini gradova i opština. Ipak, postoje značajne regionalne razlike, koje su posledica različite starosne stru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kture stanovništva, socio‑ekonomskih uslova, migracionih tokova, ali i kulturnih i porodičnih obrazaca. Zbog toga je analiza na nivou pojedinačnih gradova od posebne važnosti za razumevanje lokalnih demografskih procesa.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Predmet ovog rada je analiza broja živorođenih, umrlih i prirodnog priraštaja na 1000 stanovnika u gradovima Novi Pazar, Kraljevo i Čačak. Ova tri grada predstavljaju interesantan primer za uporednu analizu, jer pokazuju različite demografske obrasce i raz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vojne tendencije. Cilj rada je da se, na osnovu dostupnih podataka, utvrde osnovne razlike u prirodnom kretanju stanovništva između ovih gradova i ukaže na moguće uzroke uočenih trendova.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Rad je strukturisan u četiri poglavlja. U uvodnom delu objašnjen je značaj demografskih pokazatelja i definisan cilj istraživanja. Drugo poglavlje obuhvata detaljnu analizu prirodnog kretanja stanovništva po gradovima. U trećem poglavlju data je uporedna 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naliza sa komentarima, dok su u završnom poglavlju izneti osnovni zaključci i razmatranja o budućim demografskim kretanjima.</w:t>
      </w:r>
      <w:r/>
    </w:p>
    <w:p>
      <w:pPr>
        <w:pStyle w:val="13"/>
        <w:ind w:left="0" w:right="0" w:firstLine="0"/>
        <w:jc w:val="both"/>
        <w:spacing w:before="322" w:after="322"/>
        <w:rPr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II Analiza po gradovima</w:t>
      </w:r>
      <w:r>
        <w:rPr>
          <w:sz w:val="36"/>
          <w:szCs w:val="36"/>
        </w:rPr>
      </w:r>
    </w:p>
    <w:p>
      <w:pPr>
        <w:pStyle w:val="15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Novi Pazar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predstavlja izuzetak u odnosu na većinu gradova u Srbiji kada je u pitanju prirodno kretanje stanovništva. Stopa živorođenih u ovom gradu iznosi 14,4 na 1000 stanovnika, što je znatno iznad republičkog proseka. Ovakav nivo nataliteta ukazuje na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prisustvo mlađe starosne strukture stanovništva, veći udeo stanovnika u fertilnom dobu, kao i na očuvane porodične i kulturne obrasce koji podstiču rađanje.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Stopa umrlih u Novom Pazaru iznosi 7,9 na 1000 stanovnika, što je relativno niska vrednost u poređenju sa ostalim analiziranim gradovima. Niži mortalitet može se povezati sa mlađom populacijom, manjim udelom starijih lica, ali i sa određenim socio‑demograf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skim karakteristikama stanovništva. Kombinacija visoke stope nataliteta i niske stope mortaliteta rezultira pozitivnim prirodnim priraštajem od 6,5 na 1000 stanovnika.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Pozitivan prirodni priraštaj ukazuje na prirodni rast stanovništva i predstavlja važan razvojni potencijal grada. Međutim, ovakav trend istovremeno nameće i određene izazove, kao što su potreba za unapređenjem obrazovne infrastrukture, zapošljavanja i stam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bene politike, kako bi se obezbedio održiv razvoj i zadržavanje mladog stanovništva.</w:t>
      </w:r>
      <w:r/>
    </w:p>
    <w:p>
      <w:pPr>
        <w:pStyle w:val="15"/>
        <w:ind w:left="0" w:right="0" w:firstLine="0"/>
        <w:jc w:val="both"/>
        <w:spacing w:before="299" w:after="299"/>
        <w:rPr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Kraljevo</w:t>
      </w:r>
      <w:r>
        <w:rPr>
          <w:sz w:val="32"/>
          <w:szCs w:val="32"/>
        </w:rPr>
      </w:r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Demografska situacija u Kraljevu znatno je nepovoljnija u poređenju sa Novim Pazarom. Stopa živorođenih iznosi 8,4 na 1000 stanovnika, što ukazuje na nizak nivo nataliteta. Ovakav podatak je karakterističan za sredine koje se suočavaju sa procesom starenja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stanovništva, smanjenjem broja žena u fertilnom dobu i izraženim migracijama mlađeg stanovništva ka većim urbanim centrima ili inostranstvu.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Stopa umrlih u Kraljevu iznosi čak 16 na 1000 stanovnika, što predstavlja veoma visoku vrednost. Visok mortalitet je u velikoj meri posledica nepovoljne starosne strukture stanovništva, odnosno velikog udela starijih lica. Kao rezultat niskog nataliteta i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visokog mortaliteta, Kraljevo beleži negativan prirodni priraštaj od –7,7 na 1000 stanovnika.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Negativan prirodni priraštaj ukazuje na kontinuirano smanjenje broja stanovnika prirodnim putem. Ovakav trend dugoročno može dovesti do smanjenja radno sposobnog stanovništva, povećanja opterećenja sistema socijalne i zdravstvene zaštite, kao i do ukupnog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usporavanja lokalnog ekonomskog razvoja.</w:t>
      </w:r>
      <w:r/>
    </w:p>
    <w:p>
      <w:pPr>
        <w:pStyle w:val="15"/>
        <w:ind w:left="0" w:right="0" w:firstLine="0"/>
        <w:jc w:val="both"/>
        <w:spacing w:before="299" w:after="299"/>
        <w:rPr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Čačak</w:t>
      </w:r>
      <w:r>
        <w:rPr>
          <w:sz w:val="32"/>
          <w:szCs w:val="32"/>
        </w:rPr>
      </w:r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Čačak se po svojim demografskim pokazateljima nalazi između Novog Pazara i Kraljeva, ali sa jasno izraženim negativnim trendovima. Stopa živorođenih iznosi 9,3 na 1000 stanovnika, što je nešto viša vrednost u odnosu na Kraljevo, ali i dalje nedovoljna za p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rostornu reprodukciju stanovništva.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Stopa umrlih u Čačku iznosi 15,2 na 1000 stanovnika, što ukazuje na visok nivo mortaliteta. Kao i u slučaju Kraljeva, ovaj pokazatelj se može povezati sa procesom starenja stanovništva i povećanim udelom starijih starosnih grupa. Razlika između stope živor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ođenih i umrlih rezultira negativnim prirodnim priraštajem od –5,9 na 1000 stanovnika.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Iako je negativan prirodni priraštaj u Čačku blaži u poređenju sa Kraljevom, i dalje predstavlja ozbiljan demografski problem. Ukoliko se ovakvi trendovi nastave, može se očekivati dalje smanjenje broja stanovnika, što će imati dugoročne posledice po društ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veni i ekonomski razvoj grada.</w:t>
      </w:r>
      <w:r/>
    </w:p>
    <w:p>
      <w:pPr>
        <w:pStyle w:val="13"/>
        <w:ind w:left="0" w:right="0" w:firstLine="0"/>
        <w:jc w:val="both"/>
        <w:spacing w:before="322" w:after="322"/>
        <w:rPr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III Uporedna analiza i komentari</w:t>
      </w:r>
      <w:r>
        <w:rPr>
          <w:sz w:val="36"/>
          <w:szCs w:val="36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Uporedna analiza prirodnog kretanja stanovništva u gradovima Novi Pazar, Kraljevo i Čačak ukazuje na izražene razlike u demografskim trendovima, koje su rezultat različitih istorijskih, socio‑ekonomskih i demografskih karakteristika ovih sredina. Posmatran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jem tri osnovna pokazatelja – stope živorođenih, stope umrlih i prirodnog priraštaja – moguće je jasno uočiti suprotne pravce demografskog razvoja.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269"/>
        <w:gridCol w:w="2415"/>
        <w:gridCol w:w="2269"/>
        <w:gridCol w:w="2269"/>
      </w:tblGrid>
      <w:tr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226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0" w:type="dxa"/>
              <w:right w:w="0" w:type="dxa"/>
              <w:bottom w:w="30" w:type="dxa"/>
            </w:tcMar>
            <w:tcW w:w="241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 xml:space="preserve">Živorođeni na 1000 stanovnika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2269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 xml:space="preserve">Umrli na 1000 stanovnika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2269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zCs w:val="20"/>
              </w:rPr>
              <w:t xml:space="preserve">Prirodni priraštaj na 1000 stanovnika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2269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sz w:val="20"/>
                <w:szCs w:val="20"/>
              </w:rPr>
            </w:pPr>
            <w:r>
              <w:rPr>
                <w:rFonts w:ascii="Tahoma" w:hAnsi="Tahoma" w:eastAsia="Tahoma" w:cs="Tahoma"/>
                <w:i/>
                <w:color w:val="000000"/>
                <w:sz w:val="20"/>
                <w:szCs w:val="20"/>
              </w:rPr>
              <w:t xml:space="preserve">Kraljevo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2415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sz w:val="20"/>
                <w:szCs w:val="20"/>
              </w:rPr>
            </w:pPr>
            <w:r>
              <w:rPr>
                <w:rFonts w:ascii="Tahoma" w:hAnsi="Tahoma" w:eastAsia="Tahoma" w:cs="Tahoma"/>
                <w:i/>
                <w:color w:val="000000"/>
                <w:sz w:val="20"/>
                <w:szCs w:val="20"/>
              </w:rPr>
              <w:t xml:space="preserve">8,4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2269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sz w:val="20"/>
                <w:szCs w:val="20"/>
              </w:rPr>
            </w:pPr>
            <w:r>
              <w:rPr>
                <w:rFonts w:ascii="Tahoma" w:hAnsi="Tahoma" w:eastAsia="Tahoma" w:cs="Tahoma"/>
                <w:i/>
                <w:color w:val="000000"/>
                <w:sz w:val="20"/>
                <w:szCs w:val="20"/>
              </w:rPr>
              <w:t xml:space="preserve">16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2269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sz w:val="20"/>
                <w:szCs w:val="20"/>
              </w:rPr>
            </w:pPr>
            <w:r>
              <w:rPr>
                <w:rFonts w:ascii="Tahoma" w:hAnsi="Tahoma" w:eastAsia="Tahoma" w:cs="Tahoma"/>
                <w:i/>
                <w:color w:val="000000"/>
                <w:sz w:val="20"/>
                <w:szCs w:val="20"/>
              </w:rPr>
              <w:t xml:space="preserve">-7.7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2269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0"/>
                <w:szCs w:val="20"/>
              </w:rPr>
            </w:pPr>
            <w:r>
              <w:rPr>
                <w:rFonts w:ascii="Tahoma" w:hAnsi="Tahoma" w:eastAsia="Tahoma" w:cs="Tahoma"/>
                <w:i/>
                <w:color w:val="000000"/>
                <w:sz w:val="20"/>
                <w:szCs w:val="20"/>
              </w:rPr>
              <w:t xml:space="preserve">Novi Pazar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2415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0"/>
                <w:szCs w:val="20"/>
              </w:rPr>
            </w:pPr>
            <w:r>
              <w:rPr>
                <w:rFonts w:ascii="Tahoma" w:hAnsi="Tahoma" w:eastAsia="Tahoma" w:cs="Tahoma"/>
                <w:i/>
                <w:color w:val="000000"/>
                <w:sz w:val="20"/>
                <w:szCs w:val="20"/>
              </w:rPr>
              <w:t xml:space="preserve">14,4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2269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0"/>
                <w:szCs w:val="20"/>
              </w:rPr>
            </w:pPr>
            <w:r>
              <w:rPr>
                <w:rFonts w:ascii="Tahoma" w:hAnsi="Tahoma" w:eastAsia="Tahoma" w:cs="Tahoma"/>
                <w:i/>
                <w:color w:val="000000"/>
                <w:sz w:val="20"/>
                <w:szCs w:val="20"/>
              </w:rPr>
              <w:t xml:space="preserve">7,9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2269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0"/>
                <w:szCs w:val="20"/>
              </w:rPr>
            </w:pPr>
            <w:r>
              <w:rPr>
                <w:rFonts w:ascii="Tahoma" w:hAnsi="Tahoma" w:eastAsia="Tahoma" w:cs="Tahoma"/>
                <w:i/>
                <w:color w:val="000000"/>
                <w:sz w:val="20"/>
                <w:szCs w:val="20"/>
              </w:rPr>
              <w:t xml:space="preserve">6.5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40"/>
        </w:trPr>
        <w:tc>
          <w:tcPr>
            <w:shd w:val="clear" w:color="f2f2f2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2269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sz w:val="20"/>
                <w:szCs w:val="20"/>
              </w:rPr>
            </w:pPr>
            <w:r>
              <w:rPr>
                <w:rFonts w:ascii="Tahoma" w:hAnsi="Tahoma" w:eastAsia="Tahoma" w:cs="Tahoma"/>
                <w:i/>
                <w:color w:val="000000"/>
                <w:sz w:val="20"/>
                <w:szCs w:val="20"/>
              </w:rPr>
              <w:t xml:space="preserve">Čačak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2f2f2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2415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sz w:val="20"/>
                <w:szCs w:val="20"/>
              </w:rPr>
            </w:pPr>
            <w:r>
              <w:rPr>
                <w:rFonts w:ascii="Tahoma" w:hAnsi="Tahoma" w:eastAsia="Tahoma" w:cs="Tahoma"/>
                <w:i/>
                <w:color w:val="000000"/>
                <w:sz w:val="20"/>
                <w:szCs w:val="20"/>
              </w:rPr>
              <w:t xml:space="preserve">9,3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2f2f2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2269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sz w:val="20"/>
                <w:szCs w:val="20"/>
              </w:rPr>
            </w:pPr>
            <w:r>
              <w:rPr>
                <w:rFonts w:ascii="Tahoma" w:hAnsi="Tahoma" w:eastAsia="Tahoma" w:cs="Tahoma"/>
                <w:i/>
                <w:color w:val="000000"/>
                <w:sz w:val="20"/>
                <w:szCs w:val="20"/>
              </w:rPr>
              <w:t xml:space="preserve">15,2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2f2f2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2269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sz w:val="20"/>
                <w:szCs w:val="20"/>
              </w:rPr>
            </w:pPr>
            <w:r>
              <w:rPr>
                <w:rFonts w:ascii="Tahoma" w:hAnsi="Tahoma" w:eastAsia="Tahoma" w:cs="Tahoma"/>
                <w:i/>
                <w:color w:val="000000"/>
                <w:sz w:val="20"/>
                <w:szCs w:val="20"/>
              </w:rPr>
              <w:t xml:space="preserve">-5.9</w:t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se izdvaja kao demografski najpovoljniji grad među analiziranim. Sa stopom živorođenih od 14,4 na 1000 stanovnika i stopom umrlih od 7,9, ovaj grad ostvaruje pozitivan prirodni priraštaj od 6,5. Ovakvi rezultati ukazuju na stabilnu biološku repr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odukciju stanovništva i potvrđuju da Novi Pazar ima potencijal za prirodni rast. U poređenju sa druga dva grada, razlika u stopi nataliteta je naročito izražena, što ukazuje na specifične demografske i kulturne obrasce koji doprinose višem nivou rađanja.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Kraljevo i Čačak, s druge strane, karakterišu negativni demografski trendovi. Kraljevo beleži najnepovoljniju situaciju, sa niskom stopom živorođenih od 8,4 i veoma visokom stopom umrlih od 16 na 1000 stanovnika, što rezultira negativnim prirodnim prirašta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jem od –7,7. Čačak ima nešto povoljniju situaciju, ali i dalje beleži negativan prirodni priraštaj od –5,9, uz stopu živorođenih od 9,3 i stopu umrlih od 15,2.</w:t>
      </w:r>
      <w:r/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240" w:after="24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Uporedni prikaz pokazuje da je ključna razlika između Novog Pazara i preostala dva grada prvenstveno u nivou nataliteta, ali i u starosnoj strukturi stanovništva. Dok Novi Pazar ima veći udeo mladog i fertilnog stanovništva, Kraljevo i Čačak karakteriše pr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oces starenja, koji direktno utiče na povećanje mortaliteta i smanjenje broja živorođenih.</w:t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Ovi demografski trendovi imaju značajne društvene i ekonomske implikacije. Gradovi sa negativnim prirodnim priraštajem suočavaju se sa smanjenjem radno sposobnog stanovništva, povećanim pritiskom na zdravstveni i penzioni sistem, kao i sa rizikom od dugoro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čne depopulacije. Nasuprot tome, gradovi sa pozitivnim prirodnim priraštajem imaju veće razvojne potencijale, ali i obavezu da adekvatnim razvojnim politikama odgovore na potrebe rastuće populacije.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center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83584" cy="314335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969779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5083584" cy="3143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00.3pt;height:247.5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/>
      <w:r/>
      <w:r/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994698" cy="3088388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12012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4994697" cy="30883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93.3pt;height:243.2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Uporedna analiza jasno ukazuje da jedinstvena populaciona politika ne može biti jednako efikasna u svim sredinama. Neophodan je diferenciran pristup, koji bi u gradovima sa negativnim prirodnim priraštajem bio usmeren na podsticanje nataliteta i zadržavanj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 mladog stanovništva, dok bi u gradovima sa pozitivnim priraštajem akcenat trebalo staviti na održivi urbani i ekonomski razvoj.</w:t>
      </w:r>
      <w:r/>
    </w:p>
    <w:p>
      <w:pPr>
        <w:shd w:val="nil"/>
        <w:rPr>
          <w:rFonts w:ascii="Times New Roman" w:hAnsi="Times New Roman" w:eastAsia="Times New Roman" w:cs="Times New Roman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color w:val="000000"/>
          <w:sz w:val="4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48"/>
          <w:highlight w:val="none"/>
        </w:rPr>
      </w:r>
    </w:p>
    <w:p>
      <w:pPr>
        <w:pStyle w:val="13"/>
        <w:ind w:left="0" w:right="0" w:firstLine="0"/>
        <w:jc w:val="both"/>
        <w:spacing w:before="322" w:after="322"/>
        <w:rPr>
          <w:rFonts w:ascii="Times New Roman" w:hAnsi="Times New Roman" w:eastAsia="Times New Roman" w:cs="Times New Roman"/>
          <w:b/>
          <w:bCs/>
          <w:color w:val="000000"/>
          <w:sz w:val="48"/>
          <w:szCs w:val="4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IV Zaključak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osnovu sprovedene analize broja živorođenih, umrlih i prirodnog priraštaja na 1000 stanovnika u gradovima Novi Pazar, Kraljevo i Čačak, može se zaključiti da među ovim gradovima postoje izražene razlike u demografskim kretanjima i razvojnim perspektivam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a. Ovi pokazatelji jasno ukazuju na različite pravce prirodnog kretanja stanovništva, koji su posledica kombinacije demografskih, ekonomskih i društvenih faktora.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se izdvaja kao grad sa povoljnim demografskim trendovima i jedinim pozitivnim prirodnim priraštajem među analiziranim sredinama. Visoka stopa nataliteta i relativno nizak mortalitet omogućavaju prirodni rast stanovništva, što predstavlja značaja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 potencijal za budući razvoj grada. Međutim, ovaj potencijal zahteva odgovarajuće strateško planiranje kako bi se obezbedili adekvatni uslovi za obrazovanje, zapošljavanje i kvalitet života rastuće populacije.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Kraljevo i Čačak, nasuprot tome, suočavaju se sa izraženim negativnim prirodnim priraštajem, što ukazuje na dugotrajan proces depopulacije. Posebno nepovoljna situacija zabeležena je u Kraljevu, gde je kombinacija niskog nataliteta i visokog mortaliteta do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vela do značajnog prirodnog opadanja stanovništva. Ovakvi trendovi mogu imati dugoročne negativne posledice po ekonomski razvoj, tržište rada i funkcionisanje sistema socijalne i zdravstvene zaštite.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Rezultati istraživanja potvrđuju da demografski problemi ne mogu biti rešavani jedinstvenim pristupom, već zahtevaju ciljane i diferencirane populacione politike. U gradovima sa negativnim prirodnim priraštajem neophodno je sprovođenje mera usmerenih na po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dsticanje rađanja, zadržavanje mladog stanovništva i smanjenje migracionih gubitaka, dok je u sredinama sa pozitivnim demografskim trendovima važno obezbediti održivi razvoj i efikasno upravljanje rastom stanovništva.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Zaključno, analiza prirodnog kretanja stanovništva u Novom Pazaru, Kraljevu i Čačku ukazuje na značaj kontinuiranog praćenja demografskih pokazatelja i njihove uloge u planiranju lokalnog i regionalnog razvoja. Demografski trendovi predstavljaju ključni fa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ktor dugoročne stabilnosti i razvoja gradova, te je njihovo razumevanje od suštinske važnosti za donošenje kvalitetnih razvojnih odluka.</w:t>
      </w:r>
      <w:r/>
    </w:p>
    <w:p>
      <w:pPr>
        <w:jc w:val="both"/>
      </w:pPr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  <w:jc w:val="right"/>
    </w:pPr>
    <w:fldSimple w:instr="PAGE \* MERGEFORMAT">
      <w:r>
        <w:t xml:space="preserve">1</w:t>
      </w:r>
    </w:fldSimple>
    <w:r/>
    <w:r/>
  </w:p>
  <w:p>
    <w:pPr>
      <w:pStyle w:val="4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48"/>
      <w:tblW w:w="0" w:type="auto"/>
      <w:tblLayout w:type="fixed"/>
      <w:tblLook w:val="04A0" w:firstRow="1" w:lastRow="0" w:firstColumn="1" w:lastColumn="0" w:noHBand="0" w:noVBand="1"/>
    </w:tblPr>
    <w:tblGrid>
      <w:gridCol w:w="3260"/>
      <w:gridCol w:w="5669"/>
    </w:tblGrid>
    <w:tr>
      <w:trPr/>
      <w:tc>
        <w:tcPr>
          <w:tcBorders>
            <w:top w:val="none" w:color="000000" w:sz="4" w:space="0"/>
            <w:left w:val="none" w:color="000000" w:sz="4" w:space="0"/>
            <w:bottom w:val="single" w:color="000000" w:sz="4" w:space="0"/>
            <w:right w:val="single" w:color="000000" w:sz="4" w:space="0"/>
          </w:tcBorders>
          <w:tcW w:w="3260" w:type="dxa"/>
          <w:textDirection w:val="lrTb"/>
          <w:noWrap w:val="false"/>
        </w:tcPr>
        <w:p>
          <w:pPr>
            <w:pStyle w:val="42"/>
            <w:rPr>
              <w:highlight w:val="none"/>
            </w:rPr>
          </w:pPr>
          <w:r>
            <w:rPr>
              <w:highlight w:val="none"/>
            </w:rPr>
          </w:r>
          <w:hyperlink r:id="rId3" w:tooltip="https://ufuk.rs/" w:history="1">
            <w:r>
              <w:rPr>
                <w:rStyle w:val="174"/>
                <w:highlight w:val="none"/>
              </w:rPr>
            </w:r>
            <w:r>
              <w:rPr>
                <w:rStyle w:val="17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59165" cy="176546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4463503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"/>
                              <a:srcRect l="0" t="37655" r="0" b="3908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759159" cy="176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9.8pt;height:13.9pt;mso-wrap-distance-left:0.0pt;mso-wrap-distance-top:0.0pt;mso-wrap-distance-right:0.0pt;mso-wrap-distance-bottom:0.0pt;" stroked="false">
                      <v:path textboxrect="0,0,0,0"/>
                      <v:imagedata r:id="rId1" o:title=""/>
                    </v:shape>
                  </w:pict>
                </mc:Fallback>
              </mc:AlternateContent>
              <w:t xml:space="preserve">powered by </w:t>
            </w:r>
            <w:r>
              <w:rPr>
                <w:rStyle w:val="17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44574" cy="186575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4197919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"/>
                              <a:srcRect l="17992" t="28202" r="17670" b="36962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344574" cy="1865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7.1pt;height:14.7pt;mso-wrap-distance-left:0.0pt;mso-wrap-distance-top:0.0pt;mso-wrap-distance-right:0.0pt;mso-wrap-distance-bottom:0.0pt;" stroked="false">
                      <v:path textboxrect="0,0,0,0"/>
                      <v:imagedata r:id="rId2" o:title=""/>
                    </v:shape>
                  </w:pict>
                </mc:Fallback>
              </mc:AlternateContent>
            </w:r>
            <w:r>
              <w:rPr>
                <w:rStyle w:val="174"/>
              </w:rPr>
              <w:t xml:space="preserve"> </w:t>
            </w:r>
            <w:r>
              <w:rPr>
                <w:rStyle w:val="174"/>
                <w:highlight w:val="none"/>
              </w:rPr>
            </w:r>
            <w:r>
              <w:rPr>
                <w:rStyle w:val="174"/>
              </w:rPr>
            </w:r>
          </w:hyperlink>
          <w:r>
            <w:rPr>
              <w:highlight w:val="none"/>
            </w:rPr>
          </w:r>
          <w:r/>
        </w:p>
      </w:tc>
      <w:tc>
        <w:tcPr>
          <w:tcBorders>
            <w:top w:val="none" w:color="000000" w:sz="4" w:space="0"/>
            <w:left w:val="single" w:color="000000" w:sz="4" w:space="0"/>
            <w:bottom w:val="single" w:color="000000" w:sz="4" w:space="0"/>
            <w:right w:val="none" w:color="000000" w:sz="4" w:space="0"/>
          </w:tcBorders>
          <w:tcW w:w="5669" w:type="dxa"/>
          <w:textDirection w:val="lrTb"/>
          <w:noWrap w:val="false"/>
        </w:tcPr>
        <w:p>
          <w:pPr>
            <w:pStyle w:val="44"/>
          </w:pPr>
          <w:r>
            <w:rPr>
              <w:sz w:val="22"/>
              <w:szCs w:val="22"/>
            </w:rPr>
          </w:r>
          <w:r>
            <w:rPr>
              <w:sz w:val="22"/>
              <w:szCs w:val="22"/>
              <w:u w:val="none"/>
            </w:rPr>
            <w:t xml:space="preserve">Prirodni priraštaj u Novom Pazaru, Kraljevu i Čačku</w:t>
            <w:br/>
            <w:t xml:space="preserve">(po podacima za: Vitalni događaji 2024..)</w:t>
          </w:r>
          <w:r/>
          <w:r/>
        </w:p>
      </w:tc>
    </w:tr>
  </w:tbl>
  <w:p>
    <w:pPr>
      <w:pStyle w:val="4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1"/>
    <w:next w:val="6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1"/>
    <w:next w:val="6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01"/>
    <w:next w:val="6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1"/>
    <w:next w:val="6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No Spacing"/>
    <w:basedOn w:val="601"/>
    <w:uiPriority w:val="1"/>
    <w:qFormat/>
    <w:pPr>
      <w:spacing w:after="0" w:line="240" w:lineRule="auto"/>
    </w:pPr>
  </w:style>
  <w:style w:type="paragraph" w:styleId="605">
    <w:name w:val="List Paragraph"/>
    <w:basedOn w:val="601"/>
    <w:uiPriority w:val="34"/>
    <w:qFormat/>
    <w:pPr>
      <w:contextualSpacing/>
      <w:ind w:left="720"/>
    </w:pPr>
  </w:style>
  <w:style w:type="character" w:styleId="61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hyperlink" Target="https://publikacije.stat.gov.rs/G2025/Xls/G202513052.xlsx" TargetMode="External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hyperlink" Target="https://ufuk.rs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2026-01-03T21:05:27Z</dcterms:modified>
</cp:coreProperties>
</file>